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 xml:space="preserve">Проектът „Компетентности на фокус“, изпълняван от Министерството на образованието и науката, е насочен към  въвеждане и устойчивото прилагане на </w:t>
      </w:r>
      <w:proofErr w:type="spellStart"/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компетентностния</w:t>
      </w:r>
      <w:proofErr w:type="spellEnd"/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 xml:space="preserve"> подход в училищното образование и поставя в центъра учителя и училището като професионална общност.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Замислен като дългосрочна промяна с национален обхват, проектът обхваща различни елементи на образователния процес – преподаване, учене, оценяване, учебни програми, професионално развитие на учителите и подкрепа за училищните екипи.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За разлика от инициативи, насочени към еднократно повишаване на квалификацията, „Компетентности на фокус“ има за цел да създаде условия за устойчиво професионално израстване, методическа подкрепа и взаимодействие между учителите, а наред с това и чрез споделяне на опит, работа в екип да създаде училищен капацитет за развитие на ключовите компетентности.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Проектът „Компетентности на фокус“ поставя акцент върху разбирането, че развитието на учителя и развитието на училището са взаимно свързани. Когато учителите имат достъп до качествена методическа подкрепа, възможности за обучение и пространство за споделяне и взаимодействие, училището изгражда по-голям капацитет да се развива устойчиво.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„Компетентности на фокус“ подкрепя превръщането на професионалното учене в част от ежедневието на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val="en-US" w:eastAsia="bg-BG"/>
        </w:rPr>
        <w:t xml:space="preserve"> </w:t>
      </w: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училищната общност.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szCs w:val="28"/>
          <w:lang w:eastAsia="bg-BG"/>
        </w:rPr>
        <w:t>Какво отличава проекта?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„Компетентности на фокус“ не разглежда обучението на учителя като самоцел. Обучението е инструмент за професионално развитие, а училището – средата, в която това развитие се превръща в устойчива практика.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Значителна част от дейностите по проекта са свързани с участието на учителите в обучения, финансирани по проекта. Те са възможност педагогическите специалисти да надградят своите знания и умения, да се запознаят с ефективни методи и подходи и да ги споделят и прилагат в рамките на училищната общност.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По този начин проектът подкрепя не само индивидуалното професионално развитие, но и изграждането на култура на сътрудничество, обмен на добри практики и взаимна методическа подкрепа между учителите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val="en-US" w:eastAsia="bg-BG"/>
        </w:rPr>
        <w:t>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lang w:val="en-US" w:eastAsia="bg-BG"/>
        </w:rPr>
        <w:t>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lastRenderedPageBreak/>
        <w:t xml:space="preserve">До сега </w:t>
      </w: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 xml:space="preserve"> дейностите по проекта са подготвителни и се фокусират върху разработването на методологии и инструменти и върху укрепване на експертния капацитет на различни равнища.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От учебната 2026-2027 година започва същинското участие на училищата и педагогическите специалисти в конкретни дейности. През следващите две години поетапно ще се увеличава броят на училищата с методически планове и ще се изграждат общи професионално учещи се общности.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В различните етапи училища, директори, учители и ученици ще бъдат включвани в обучения, какт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 xml:space="preserve">о и в разработване </w:t>
      </w: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на инструменти и учебни ресурси, както и в дейности за проследяване на резултатите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Участието в проекта е възможност училището да бъде активен участник в процеса на модернизиране на образованието, като учителите и директорите: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получават методическа и професионална подкрепа;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развиват капацитета на педагогическия си екип;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прилагат нови подходи;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участват в разработването и апробирането на нови инструменти;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споделят опит и дават обратна връзка;</w:t>
      </w:r>
    </w:p>
    <w:p w:rsid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работят за по-добро проследяване на индивидуалния напредък на учениците;</w:t>
      </w:r>
    </w:p>
    <w:p w:rsidR="00F1110A" w:rsidRPr="00F1110A" w:rsidRDefault="00F1110A" w:rsidP="00F1110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Нашата програма</w:t>
      </w:r>
      <w:r w:rsidR="00E10DC9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:</w:t>
      </w:r>
      <w:r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 xml:space="preserve"> </w:t>
      </w:r>
    </w:p>
    <w:p w:rsidR="00F1110A" w:rsidRPr="00F1110A" w:rsidRDefault="00F1110A" w:rsidP="00F1110A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</w:pPr>
      <w:r w:rsidRPr="00F1110A">
        <w:rPr>
          <w:rFonts w:ascii="Times New Roman" w:eastAsia="Times New Roman" w:hAnsi="Times New Roman" w:cs="Times New Roman"/>
          <w:color w:val="666666"/>
          <w:sz w:val="28"/>
          <w:szCs w:val="28"/>
          <w:lang w:eastAsia="bg-BG"/>
        </w:rPr>
        <w:t> </w:t>
      </w:r>
    </w:p>
    <w:p w:rsidR="00E10DC9" w:rsidRPr="00E10DC9" w:rsidRDefault="00E10DC9" w:rsidP="00E10DC9">
      <w:pPr>
        <w:pStyle w:val="wp-block-paragraph"/>
        <w:shd w:val="clear" w:color="auto" w:fill="FFFFFF"/>
        <w:rPr>
          <w:color w:val="000000"/>
          <w:sz w:val="28"/>
          <w:szCs w:val="28"/>
        </w:rPr>
      </w:pPr>
      <w:r w:rsidRPr="00E10DC9">
        <w:rPr>
          <w:color w:val="000000"/>
        </w:rPr>
        <w:t xml:space="preserve"> </w:t>
      </w:r>
      <w:bookmarkStart w:id="0" w:name="_GoBack"/>
      <w:r w:rsidRPr="00E10DC9">
        <w:rPr>
          <w:color w:val="000000"/>
          <w:sz w:val="28"/>
          <w:szCs w:val="28"/>
        </w:rPr>
        <w:t>2 съвместни урока – по един през всеки учебен срок, които ще насърчават ученето чрез взаимодействие между учители, учебни области и ученици.</w:t>
      </w:r>
    </w:p>
    <w:p w:rsidR="00E10DC9" w:rsidRPr="00E10DC9" w:rsidRDefault="00E10DC9" w:rsidP="00E10DC9">
      <w:pPr>
        <w:pStyle w:val="wp-block-paragraph"/>
        <w:shd w:val="clear" w:color="auto" w:fill="FFFFFF"/>
        <w:rPr>
          <w:color w:val="000000"/>
          <w:sz w:val="28"/>
          <w:szCs w:val="28"/>
        </w:rPr>
      </w:pPr>
      <w:r w:rsidRPr="00E10DC9">
        <w:rPr>
          <w:color w:val="000000"/>
          <w:sz w:val="28"/>
          <w:szCs w:val="28"/>
        </w:rPr>
        <w:t>5 STEM занимания – 2 през първия и 3 през втория срок, чрез които учениците ще изследват, експериментират и създават решения, свързвайки знания от различни области.</w:t>
      </w:r>
    </w:p>
    <w:p w:rsidR="00E10DC9" w:rsidRPr="00E10DC9" w:rsidRDefault="00E10DC9" w:rsidP="00E10DC9">
      <w:pPr>
        <w:pStyle w:val="wp-block-paragraph"/>
        <w:shd w:val="clear" w:color="auto" w:fill="FFFFFF"/>
        <w:rPr>
          <w:color w:val="000000"/>
          <w:sz w:val="28"/>
          <w:szCs w:val="28"/>
        </w:rPr>
      </w:pPr>
      <w:r w:rsidRPr="00E10DC9">
        <w:rPr>
          <w:color w:val="000000"/>
          <w:sz w:val="28"/>
          <w:szCs w:val="28"/>
        </w:rPr>
        <w:t xml:space="preserve"> 5 интердисциплинарни занимания – 2 през първия и 3 през втория срок, които ще показват връзките между различните учебни предмети и приложението на знанията в реални ситуации.</w:t>
      </w:r>
    </w:p>
    <w:p w:rsidR="00E10DC9" w:rsidRPr="00E10DC9" w:rsidRDefault="00E10DC9" w:rsidP="00E10DC9">
      <w:pPr>
        <w:pStyle w:val="wp-block-paragraph"/>
        <w:shd w:val="clear" w:color="auto" w:fill="FFFFFF"/>
        <w:rPr>
          <w:color w:val="000000"/>
          <w:sz w:val="28"/>
          <w:szCs w:val="28"/>
        </w:rPr>
      </w:pPr>
      <w:r w:rsidRPr="00E10DC9">
        <w:rPr>
          <w:color w:val="000000"/>
          <w:sz w:val="28"/>
          <w:szCs w:val="28"/>
        </w:rPr>
        <w:t xml:space="preserve"> 2 </w:t>
      </w:r>
      <w:proofErr w:type="spellStart"/>
      <w:r w:rsidRPr="00E10DC9">
        <w:rPr>
          <w:color w:val="000000"/>
          <w:sz w:val="28"/>
          <w:szCs w:val="28"/>
        </w:rPr>
        <w:t>компетентностно</w:t>
      </w:r>
      <w:proofErr w:type="spellEnd"/>
      <w:r w:rsidRPr="00E10DC9">
        <w:rPr>
          <w:color w:val="000000"/>
          <w:sz w:val="28"/>
          <w:szCs w:val="28"/>
        </w:rPr>
        <w:t>-базирани образователни ресурса, включващи и елементи, свързани с ценности и добродетели, които ще бъдат разработени, приложени и оценени в училищна среда.</w:t>
      </w:r>
    </w:p>
    <w:bookmarkEnd w:id="0"/>
    <w:p w:rsidR="00C76741" w:rsidRPr="00E10DC9" w:rsidRDefault="00C76741">
      <w:pPr>
        <w:rPr>
          <w:rFonts w:ascii="Times New Roman" w:hAnsi="Times New Roman" w:cs="Times New Roman"/>
          <w:sz w:val="28"/>
          <w:szCs w:val="28"/>
        </w:rPr>
      </w:pPr>
    </w:p>
    <w:sectPr w:rsidR="00C76741" w:rsidRPr="00E10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D00BA"/>
    <w:multiLevelType w:val="multilevel"/>
    <w:tmpl w:val="130AE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609DD"/>
    <w:multiLevelType w:val="multilevel"/>
    <w:tmpl w:val="2B56E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10A"/>
    <w:rsid w:val="00C76741"/>
    <w:rsid w:val="00E10DC9"/>
    <w:rsid w:val="00F1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E8086"/>
  <w15:chartTrackingRefBased/>
  <w15:docId w15:val="{BC367C0C-E863-4071-8326-AB123191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p-block-paragraph">
    <w:name w:val="wp-block-paragraph"/>
    <w:basedOn w:val="a"/>
    <w:rsid w:val="00E10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1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OU_Paisii</dc:creator>
  <cp:keywords/>
  <dc:description/>
  <cp:lastModifiedBy>OU_Paisii</cp:lastModifiedBy>
  <cp:revision>1</cp:revision>
  <dcterms:created xsi:type="dcterms:W3CDTF">2026-10-23T09:26:00Z</dcterms:created>
  <dcterms:modified xsi:type="dcterms:W3CDTF">2026-10-23T09:47:00Z</dcterms:modified>
</cp:coreProperties>
</file>